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63" w:rsidRPr="00666BA7" w:rsidRDefault="00531D6F" w:rsidP="00116F38">
      <w:pPr>
        <w:pStyle w:val="BodyText"/>
        <w:ind w:firstLine="720"/>
      </w:pPr>
      <w:r w:rsidRPr="00666BA7">
        <w:t>Novērtējot</w:t>
      </w:r>
      <w:r w:rsidR="00E72D9B" w:rsidRPr="00666BA7">
        <w:t xml:space="preserve"> </w:t>
      </w:r>
      <w:r w:rsidR="00656A83" w:rsidRPr="00666BA7">
        <w:t>Kredītiestāžu likuma 26.</w:t>
      </w:r>
      <w:r w:rsidR="00656A83" w:rsidRPr="00666BA7">
        <w:rPr>
          <w:vertAlign w:val="superscript"/>
        </w:rPr>
        <w:t>1</w:t>
      </w:r>
      <w:r w:rsidR="00656A83" w:rsidRPr="00666BA7">
        <w:t xml:space="preserve"> panta prasīb</w:t>
      </w:r>
      <w:r w:rsidR="00BE2E9B" w:rsidRPr="00666BA7">
        <w:t>u ievērošanu</w:t>
      </w:r>
      <w:r w:rsidR="00E72D9B" w:rsidRPr="00666BA7">
        <w:t xml:space="preserve"> Finanšu un kapitāla tirgus komisija (turpmāk – Komisija) sniedz šādu skaidrojumu par </w:t>
      </w:r>
      <w:r w:rsidR="00D54C22">
        <w:t xml:space="preserve">norādītā panta </w:t>
      </w:r>
      <w:bookmarkStart w:id="0" w:name="_GoBack"/>
      <w:bookmarkEnd w:id="0"/>
      <w:r w:rsidR="00193774" w:rsidRPr="00666BA7">
        <w:t>piemērošanu.</w:t>
      </w:r>
    </w:p>
    <w:p w:rsidR="00EE53C5" w:rsidRPr="00666BA7" w:rsidRDefault="00EE53C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lv-LV"/>
        </w:rPr>
      </w:pPr>
    </w:p>
    <w:p w:rsidR="00EE53C5" w:rsidRDefault="00193774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  <w:r w:rsidRPr="00666BA7">
        <w:rPr>
          <w:lang w:val="lv-LV"/>
        </w:rPr>
        <w:t>Kredītiestāžu likuma 26.</w:t>
      </w:r>
      <w:r w:rsidRPr="00666BA7">
        <w:rPr>
          <w:vertAlign w:val="superscript"/>
          <w:lang w:val="lv-LV"/>
        </w:rPr>
        <w:t>1</w:t>
      </w:r>
      <w:r w:rsidRPr="00666BA7">
        <w:rPr>
          <w:lang w:val="lv-LV"/>
        </w:rPr>
        <w:t xml:space="preserve"> panta </w:t>
      </w:r>
      <w:r w:rsidR="00F3008A">
        <w:rPr>
          <w:lang w:val="lv-LV"/>
        </w:rPr>
        <w:t>trešās</w:t>
      </w:r>
      <w:r w:rsidR="00B42F3D" w:rsidRPr="00666BA7">
        <w:rPr>
          <w:lang w:val="lv-LV"/>
        </w:rPr>
        <w:t xml:space="preserve"> daļas 1. </w:t>
      </w:r>
      <w:r w:rsidR="007C007F" w:rsidRPr="00666BA7">
        <w:rPr>
          <w:lang w:val="lv-LV"/>
        </w:rPr>
        <w:t>punkt</w:t>
      </w:r>
      <w:r w:rsidR="007C007F">
        <w:rPr>
          <w:lang w:val="lv-LV"/>
        </w:rPr>
        <w:t>s</w:t>
      </w:r>
      <w:r w:rsidR="007C007F" w:rsidRPr="00666BA7">
        <w:rPr>
          <w:lang w:val="lv-LV"/>
        </w:rPr>
        <w:t xml:space="preserve"> </w:t>
      </w:r>
      <w:r w:rsidRPr="00666BA7">
        <w:rPr>
          <w:lang w:val="lv-LV"/>
        </w:rPr>
        <w:t xml:space="preserve">paredz, ka par vienu padomes vai valdes locekļa amata vietu tiek uzskatītas padomes vai valdes locekļa amata vietas vienas konsolidācijas grupas ietvaros. </w:t>
      </w:r>
    </w:p>
    <w:p w:rsidR="00B63610" w:rsidRPr="00666BA7" w:rsidRDefault="00B63610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EE53C5" w:rsidRPr="00666BA7" w:rsidRDefault="009761C8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  <w:r w:rsidRPr="00666BA7">
        <w:rPr>
          <w:lang w:val="lv-LV"/>
        </w:rPr>
        <w:t>Ņemot vērā Eiropas Banku iestādes (turpmāk – EBI) precizētās</w:t>
      </w:r>
      <w:r w:rsidR="00201A8E" w:rsidRPr="00666BA7">
        <w:rPr>
          <w:rStyle w:val="FootnoteReference"/>
          <w:lang w:val="lv-LV"/>
        </w:rPr>
        <w:footnoteReference w:id="1"/>
      </w:r>
      <w:r w:rsidR="00116F38" w:rsidRPr="00666BA7">
        <w:rPr>
          <w:lang w:val="lv-LV"/>
        </w:rPr>
        <w:t xml:space="preserve"> "P</w:t>
      </w:r>
      <w:r w:rsidRPr="00666BA7">
        <w:rPr>
          <w:lang w:val="lv-LV"/>
        </w:rPr>
        <w:t xml:space="preserve">amatnostādnes </w:t>
      </w:r>
      <w:proofErr w:type="gramStart"/>
      <w:r w:rsidRPr="00666BA7">
        <w:rPr>
          <w:lang w:val="lv-LV"/>
        </w:rPr>
        <w:t>par vadības struktūras locekļu un personu</w:t>
      </w:r>
      <w:proofErr w:type="gramEnd"/>
      <w:r w:rsidRPr="00666BA7">
        <w:rPr>
          <w:lang w:val="lv-LV"/>
        </w:rPr>
        <w:t>, kas pilda pamatfunkcijas, piemērotības novērtēšanu</w:t>
      </w:r>
      <w:r w:rsidR="00116F38" w:rsidRPr="00666BA7">
        <w:rPr>
          <w:lang w:val="lv-LV"/>
        </w:rPr>
        <w:t>" (turpmāk – pamatnostādnes)</w:t>
      </w:r>
      <w:r w:rsidRPr="00666BA7">
        <w:rPr>
          <w:lang w:val="lv-LV"/>
        </w:rPr>
        <w:t>, termin</w:t>
      </w:r>
      <w:r w:rsidR="006807F2" w:rsidRPr="00666BA7">
        <w:rPr>
          <w:lang w:val="lv-LV"/>
        </w:rPr>
        <w:t>s</w:t>
      </w:r>
      <w:r w:rsidRPr="00666BA7">
        <w:rPr>
          <w:lang w:val="lv-LV"/>
        </w:rPr>
        <w:t xml:space="preserve"> "grupa" </w:t>
      </w:r>
      <w:r w:rsidR="006807F2" w:rsidRPr="00666BA7">
        <w:rPr>
          <w:lang w:val="lv-LV"/>
        </w:rPr>
        <w:t xml:space="preserve">tiek definēts kā </w:t>
      </w:r>
      <w:r w:rsidRPr="00666BA7">
        <w:rPr>
          <w:lang w:val="lv-LV"/>
        </w:rPr>
        <w:t>mātesuzņēmum</w:t>
      </w:r>
      <w:r w:rsidR="006807F2" w:rsidRPr="00666BA7">
        <w:rPr>
          <w:lang w:val="lv-LV"/>
        </w:rPr>
        <w:t>s</w:t>
      </w:r>
      <w:r w:rsidRPr="00666BA7">
        <w:rPr>
          <w:lang w:val="lv-LV"/>
        </w:rPr>
        <w:t xml:space="preserve"> un vis</w:t>
      </w:r>
      <w:r w:rsidR="006807F2" w:rsidRPr="00666BA7">
        <w:rPr>
          <w:lang w:val="lv-LV"/>
        </w:rPr>
        <w:t>i</w:t>
      </w:r>
      <w:r w:rsidRPr="00666BA7">
        <w:rPr>
          <w:lang w:val="lv-LV"/>
        </w:rPr>
        <w:t xml:space="preserve"> tā</w:t>
      </w:r>
      <w:r w:rsidR="006807F2" w:rsidRPr="00666BA7">
        <w:rPr>
          <w:lang w:val="lv-LV"/>
        </w:rPr>
        <w:t>s</w:t>
      </w:r>
      <w:r w:rsidRPr="00666BA7">
        <w:rPr>
          <w:lang w:val="lv-LV"/>
        </w:rPr>
        <w:t xml:space="preserve"> meitasuzņēmum</w:t>
      </w:r>
      <w:r w:rsidR="006807F2" w:rsidRPr="00666BA7">
        <w:rPr>
          <w:lang w:val="lv-LV"/>
        </w:rPr>
        <w:t>i</w:t>
      </w:r>
      <w:r w:rsidRPr="00666BA7">
        <w:rPr>
          <w:lang w:val="lv-LV"/>
        </w:rPr>
        <w:t xml:space="preserve"> kā noteikts Direktīvas 2013/34/ES </w:t>
      </w:r>
      <w:r w:rsidR="00C97724" w:rsidRPr="00666BA7">
        <w:rPr>
          <w:i/>
          <w:lang w:val="lv-LV"/>
        </w:rPr>
        <w:t>par noteiktu veidu uzņēmumu gada finanšu pārskatiem, konsolidētajiem finanšu pārskatiem un saistītiem ziņojumiem, ar ko groza Eiropas Parlamenta un Padomes Direktīvu 2006/43/EK un atceļ Padomes Direktīvas 78/660/EEK un 83/349/EEK</w:t>
      </w:r>
      <w:r w:rsidRPr="00666BA7">
        <w:rPr>
          <w:lang w:val="lv-LV"/>
        </w:rPr>
        <w:t xml:space="preserve"> </w:t>
      </w:r>
      <w:r w:rsidR="00D36EC7">
        <w:rPr>
          <w:lang w:val="lv-LV"/>
        </w:rPr>
        <w:t xml:space="preserve">2. </w:t>
      </w:r>
      <w:r w:rsidRPr="00666BA7">
        <w:rPr>
          <w:lang w:val="lv-LV"/>
        </w:rPr>
        <w:t>panta devītās un desmitās daļas prasībās. Šāda pieeja atbilst grāmatvedības konsolidācijas grupas definējumam</w:t>
      </w:r>
      <w:r w:rsidR="007C007F">
        <w:rPr>
          <w:lang w:val="lv-LV"/>
        </w:rPr>
        <w:t>.</w:t>
      </w:r>
      <w:r w:rsidR="00B63610">
        <w:rPr>
          <w:lang w:val="lv-LV"/>
        </w:rPr>
        <w:t xml:space="preserve"> </w:t>
      </w:r>
      <w:r w:rsidR="00E8576E">
        <w:rPr>
          <w:lang w:val="lv-LV"/>
        </w:rPr>
        <w:t>G</w:t>
      </w:r>
      <w:r w:rsidR="00E8576E" w:rsidRPr="00666BA7">
        <w:rPr>
          <w:lang w:val="lv-LV"/>
        </w:rPr>
        <w:t>rāmatvedības konsolidācijas grupas pieeja pieļauj ietver</w:t>
      </w:r>
      <w:r w:rsidR="00B63610">
        <w:rPr>
          <w:lang w:val="lv-LV"/>
        </w:rPr>
        <w:t>t arī</w:t>
      </w:r>
      <w:r w:rsidR="00E8576E" w:rsidRPr="00666BA7">
        <w:rPr>
          <w:lang w:val="lv-LV"/>
        </w:rPr>
        <w:t xml:space="preserve"> uzņēmumus, kuru ekonomiskā būtība un saimnieciskā darbība var būtiski atšķirties no kredītiestādes</w:t>
      </w:r>
      <w:r w:rsidR="00E8576E">
        <w:rPr>
          <w:lang w:val="lv-LV"/>
        </w:rPr>
        <w:t>, piemēram, nefinanšu uzņēmumi</w:t>
      </w:r>
      <w:r w:rsidR="00E8576E" w:rsidRPr="00666BA7">
        <w:rPr>
          <w:lang w:val="lv-LV"/>
        </w:rPr>
        <w:t>.</w:t>
      </w:r>
    </w:p>
    <w:p w:rsidR="00EE53C5" w:rsidRPr="00666BA7" w:rsidRDefault="00EE53C5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EE53C5" w:rsidRPr="00666BA7" w:rsidRDefault="00C1533D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  <w:r w:rsidRPr="00666BA7">
        <w:rPr>
          <w:lang w:val="lv-LV"/>
        </w:rPr>
        <w:t xml:space="preserve">Vēršam uzmanību, ka </w:t>
      </w:r>
      <w:r w:rsidR="00912ABB" w:rsidRPr="00666BA7">
        <w:rPr>
          <w:lang w:val="lv-LV"/>
        </w:rPr>
        <w:t>Kredītiestāžu likuma 26.</w:t>
      </w:r>
      <w:r w:rsidR="00912ABB" w:rsidRPr="00666BA7">
        <w:rPr>
          <w:vertAlign w:val="superscript"/>
          <w:lang w:val="lv-LV"/>
        </w:rPr>
        <w:t>1</w:t>
      </w:r>
      <w:r w:rsidR="00912ABB" w:rsidRPr="00666BA7">
        <w:rPr>
          <w:lang w:val="lv-LV"/>
        </w:rPr>
        <w:t xml:space="preserve"> panta </w:t>
      </w:r>
      <w:r w:rsidR="00F3008A">
        <w:rPr>
          <w:lang w:val="lv-LV"/>
        </w:rPr>
        <w:t>otrajā</w:t>
      </w:r>
      <w:r w:rsidR="00B42F3D" w:rsidRPr="00666BA7">
        <w:rPr>
          <w:lang w:val="lv-LV"/>
        </w:rPr>
        <w:t xml:space="preserve"> daļā</w:t>
      </w:r>
      <w:r w:rsidR="00912ABB" w:rsidRPr="00666BA7">
        <w:rPr>
          <w:lang w:val="lv-LV"/>
        </w:rPr>
        <w:t xml:space="preserve"> ietvertās prasības ir jāuztver kā atsevišķas prasības</w:t>
      </w:r>
      <w:r w:rsidR="00D71BC6" w:rsidRPr="00666BA7">
        <w:rPr>
          <w:lang w:val="lv-LV"/>
        </w:rPr>
        <w:t xml:space="preserve"> no </w:t>
      </w:r>
      <w:r w:rsidR="00F3008A">
        <w:rPr>
          <w:lang w:val="lv-LV"/>
        </w:rPr>
        <w:t>minētā panta trešajā</w:t>
      </w:r>
      <w:r w:rsidR="00B42F3D" w:rsidRPr="00666BA7">
        <w:rPr>
          <w:lang w:val="lv-LV"/>
        </w:rPr>
        <w:t xml:space="preserve"> </w:t>
      </w:r>
      <w:r w:rsidR="00D71BC6" w:rsidRPr="00666BA7">
        <w:rPr>
          <w:lang w:val="lv-LV"/>
        </w:rPr>
        <w:t>daļā ietvertajām prasībām</w:t>
      </w:r>
      <w:r w:rsidR="00912ABB" w:rsidRPr="00666BA7">
        <w:rPr>
          <w:lang w:val="lv-LV"/>
        </w:rPr>
        <w:t>. Respektīvi, padomes un valdes loceklis vienlaikus drīkst ieņemt tikai vienu no Kredītiestāžu likuma 26.</w:t>
      </w:r>
      <w:r w:rsidR="00912ABB" w:rsidRPr="00666BA7">
        <w:rPr>
          <w:vertAlign w:val="superscript"/>
          <w:lang w:val="lv-LV"/>
        </w:rPr>
        <w:t>1</w:t>
      </w:r>
      <w:r w:rsidR="00912ABB" w:rsidRPr="00666BA7">
        <w:rPr>
          <w:lang w:val="lv-LV"/>
        </w:rPr>
        <w:t xml:space="preserve"> panta</w:t>
      </w:r>
      <w:r w:rsidR="0091731D" w:rsidRPr="00666BA7">
        <w:rPr>
          <w:lang w:val="lv-LV"/>
        </w:rPr>
        <w:t xml:space="preserve"> </w:t>
      </w:r>
      <w:r w:rsidR="00F3008A">
        <w:rPr>
          <w:lang w:val="lv-LV"/>
        </w:rPr>
        <w:t>otrās</w:t>
      </w:r>
      <w:r w:rsidR="00CD5024" w:rsidRPr="00666BA7">
        <w:rPr>
          <w:lang w:val="lv-LV"/>
        </w:rPr>
        <w:t xml:space="preserve"> daļas 1. vai 2. punktā</w:t>
      </w:r>
      <w:r w:rsidR="0091731D" w:rsidRPr="00666BA7">
        <w:rPr>
          <w:lang w:val="lv-LV"/>
        </w:rPr>
        <w:t xml:space="preserve"> </w:t>
      </w:r>
      <w:r w:rsidR="00912ABB" w:rsidRPr="00666BA7">
        <w:rPr>
          <w:lang w:val="lv-LV"/>
        </w:rPr>
        <w:t>minēta</w:t>
      </w:r>
      <w:r w:rsidR="00D71BC6" w:rsidRPr="00666BA7">
        <w:rPr>
          <w:lang w:val="lv-LV"/>
        </w:rPr>
        <w:t>jām amata vietu kombinācijām.</w:t>
      </w:r>
      <w:r w:rsidR="005A0481">
        <w:rPr>
          <w:lang w:val="lv-LV"/>
        </w:rPr>
        <w:t xml:space="preserve"> </w:t>
      </w:r>
      <w:r w:rsidR="00DD0A4F">
        <w:rPr>
          <w:lang w:val="lv-LV"/>
        </w:rPr>
        <w:t>Gan</w:t>
      </w:r>
      <w:r w:rsidR="005A0481">
        <w:rPr>
          <w:lang w:val="lv-LV"/>
        </w:rPr>
        <w:t xml:space="preserve"> grupas ietvaros, gan </w:t>
      </w:r>
      <w:r w:rsidR="00DD0A4F">
        <w:rPr>
          <w:lang w:val="lv-LV"/>
        </w:rPr>
        <w:t xml:space="preserve">atsevišķi </w:t>
      </w:r>
      <w:r w:rsidR="005A0481">
        <w:rPr>
          <w:lang w:val="lv-LV"/>
        </w:rPr>
        <w:t>sabiedrību, kurās kredītiestādei ir būtiska līdzdalība, ietvaros, valdes locekļa amata viet</w:t>
      </w:r>
      <w:r w:rsidR="00DD0A4F">
        <w:rPr>
          <w:lang w:val="lv-LV"/>
        </w:rPr>
        <w:t>as</w:t>
      </w:r>
      <w:r w:rsidR="005A0481">
        <w:rPr>
          <w:lang w:val="lv-LV"/>
        </w:rPr>
        <w:t xml:space="preserve"> skaita atsevišķi no padomes locekļa amata viet</w:t>
      </w:r>
      <w:r w:rsidR="00DD0A4F">
        <w:rPr>
          <w:lang w:val="lv-LV"/>
        </w:rPr>
        <w:t>ām.</w:t>
      </w:r>
    </w:p>
    <w:p w:rsidR="00EE53C5" w:rsidRPr="00666BA7" w:rsidRDefault="00EE53C5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EE53C5" w:rsidRPr="00666BA7" w:rsidRDefault="00A8297E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  <w:r w:rsidRPr="00666BA7">
        <w:rPr>
          <w:lang w:val="lv-LV"/>
        </w:rPr>
        <w:t>Taču v</w:t>
      </w:r>
      <w:r w:rsidR="00291FA2" w:rsidRPr="00666BA7">
        <w:rPr>
          <w:lang w:val="lv-LV"/>
        </w:rPr>
        <w:t>eicot padomes un valdes locekļa amata vietu uzskaiti, ir jāņem vērā, ka Kredītiestāžu likuma 26.</w:t>
      </w:r>
      <w:r w:rsidR="00291FA2" w:rsidRPr="00666BA7">
        <w:rPr>
          <w:vertAlign w:val="superscript"/>
          <w:lang w:val="lv-LV"/>
        </w:rPr>
        <w:t>1</w:t>
      </w:r>
      <w:r w:rsidR="00291FA2" w:rsidRPr="00666BA7">
        <w:rPr>
          <w:lang w:val="lv-LV"/>
        </w:rPr>
        <w:t xml:space="preserve"> panta</w:t>
      </w:r>
      <w:r w:rsidR="0091731D" w:rsidRPr="00666BA7">
        <w:rPr>
          <w:lang w:val="lv-LV"/>
        </w:rPr>
        <w:t xml:space="preserve"> </w:t>
      </w:r>
      <w:r w:rsidR="00F3008A">
        <w:rPr>
          <w:lang w:val="lv-LV"/>
        </w:rPr>
        <w:t>trešās</w:t>
      </w:r>
      <w:r w:rsidR="00CD5024" w:rsidRPr="00666BA7">
        <w:rPr>
          <w:lang w:val="lv-LV"/>
        </w:rPr>
        <w:t xml:space="preserve"> daļas 1., 2. un 3. punktā</w:t>
      </w:r>
      <w:r w:rsidR="00291FA2" w:rsidRPr="00666BA7">
        <w:rPr>
          <w:lang w:val="lv-LV"/>
        </w:rPr>
        <w:t xml:space="preserve"> ietvertos n</w:t>
      </w:r>
      <w:r w:rsidR="00B235A5" w:rsidRPr="00666BA7">
        <w:rPr>
          <w:lang w:val="lv-LV"/>
        </w:rPr>
        <w:t xml:space="preserve">osacījumus piemēro </w:t>
      </w:r>
      <w:r w:rsidR="00B235A5" w:rsidRPr="007C007F">
        <w:rPr>
          <w:lang w:val="lv-LV"/>
        </w:rPr>
        <w:t>atsevišķi</w:t>
      </w:r>
      <w:r w:rsidR="00B235A5" w:rsidRPr="00666BA7">
        <w:rPr>
          <w:lang w:val="lv-LV"/>
        </w:rPr>
        <w:t xml:space="preserve"> kā norādīts 1.attēlā.</w:t>
      </w:r>
    </w:p>
    <w:p w:rsidR="00EE53C5" w:rsidRDefault="00EE53C5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B63610" w:rsidRDefault="00B63610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B63610" w:rsidRDefault="00B63610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B63610" w:rsidRDefault="00B63610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B63610" w:rsidRPr="00666BA7" w:rsidRDefault="00B63610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EE53C5" w:rsidRPr="00666BA7" w:rsidRDefault="00EE53C5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EE53C5" w:rsidRPr="00666BA7" w:rsidRDefault="00EE53C5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EE53C5" w:rsidRPr="00666BA7" w:rsidRDefault="00534870">
      <w:pPr>
        <w:autoSpaceDE w:val="0"/>
        <w:autoSpaceDN w:val="0"/>
        <w:adjustRightInd w:val="0"/>
        <w:spacing w:line="240" w:lineRule="atLeast"/>
        <w:jc w:val="both"/>
        <w:rPr>
          <w:lang w:val="lv-LV"/>
        </w:rPr>
      </w:pPr>
      <w:r w:rsidRPr="00534870">
        <w:rPr>
          <w:noProof/>
          <w:lang w:val="en-US"/>
        </w:rPr>
        <w:lastRenderedPageBreak/>
        <w:pict>
          <v:rect id="Rectangle 2" o:spid="_x0000_s1026" style="position:absolute;left:0;text-align:left;margin-left:-6pt;margin-top:-3.75pt;width:427.5pt;height:37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UjeQIAAPwEAAAOAAAAZHJzL2Uyb0RvYy54bWysVNuO2yAQfa/Uf0C8Z32ps5tYcVZRnFSV&#10;tu2q234AARyjYqBA4myr/nsHnKRJ96WqygMGzzCcM3OG2f2hk2jPrRNaVTi7STHiimom1LbCXz6v&#10;RxOMnCeKEakVr/Azd/h+/vrVrDclz3WrJeMWQRDlyt5UuPXelEniaMs74m604QqMjbYd8bC124RZ&#10;0kP0TiZ5mt4mvbbMWE25c/C3Hox4HuM3Daf+Y9M47pGsMGDzcbZx3oQ5mc9IubXEtIIeYZB/QNER&#10;oeDSc6iaeIJ2VrwI1QlqtdONv6G6S3TTCMojB2CTpX+weWqJ4ZELJMeZc5rc/wtLP+wfLRKswjlG&#10;inRQok+QNKK2kqM8pKc3rgSvJ/NoA0FnHjT96pDSyxa8+MJa3becMACVBf/k6kDYODiKNv17zSA6&#10;2XkdM3VobBcCQg7QIRbk+VwQfvCIws9xkU/zMdSNgq2YQL3TWLKElKfjxjr/lusOhUWFLYCP4cn+&#10;wfkAh5Qnl3Cb0mshZay6VKiv8HScj+MBp6VgwRhZ2u1mKS3ak6CbOCI34H/p1gkP6pWiqzCAgzHo&#10;KaRjpVi8xRMhhzUgkSoEB3aA7bgaVPJjmk5Xk9WkGBX57WpUpHU9WqyXxeh2nd2N6zf1cllnPwPO&#10;rChbwRhXAepJsVnxd4o49s6gtbNmryi5S+brOF4yT65hxCwDq9M3sos6CKUfJLTR7BlkYPXQgvBk&#10;wKLV9jtGPbRfhd23HbEcI/lOgZSmWVGEfo2bYnyXw8ZeWjaXFqIohKqwx2hYLv3Q4ztjxbaFm7JY&#10;Y6UXIL9GRGEEaQ6ojqKFFosMjs9B6OHLffT6/WjNfwEAAP//AwBQSwMEFAAGAAgAAAAhAB4kSZnf&#10;AAAACgEAAA8AAABkcnMvZG93bnJldi54bWxMj0FPwzAMhe9I/IfISNy2dGNlVWk6FcSukxhIG7es&#10;MU21xqmabC3/HnOCm+339Py9YjO5TlxxCK0nBYt5AgKp9qalRsHH+3aWgQhRk9GdJ1TwjQE25e1N&#10;oXPjR3rD6z42gkMo5FqBjbHPpQy1RafD3PdIrH35wenI69BIM+iRw10nl0nyKJ1uiT9Y3eOLxfq8&#10;vzgFr/3nrkqbIKtDtMezfx63dtcodX83VU8gIk7xzwy/+IwOJTOd/IVMEJ2C2WLJXSIP6xQEG7LV&#10;Ax9OCtarLAVZFvJ/hfIHAAD//wMAUEsBAi0AFAAGAAgAAAAhALaDOJL+AAAA4QEAABMAAAAAAAAA&#10;AAAAAAAAAAAAAFtDb250ZW50X1R5cGVzXS54bWxQSwECLQAUAAYACAAAACEAOP0h/9YAAACUAQAA&#10;CwAAAAAAAAAAAAAAAAAvAQAAX3JlbHMvLnJlbHNQSwECLQAUAAYACAAAACEAhwSlI3kCAAD8BAAA&#10;DgAAAAAAAAAAAAAAAAAuAgAAZHJzL2Uyb0RvYy54bWxQSwECLQAUAAYACAAAACEAHiRJmd8AAAAK&#10;AQAADwAAAAAAAAAAAAAAAADTBAAAZHJzL2Rvd25yZXYueG1sUEsFBgAAAAAEAAQA8wAAAN8FAAAA&#10;AA==&#10;" filled="f"/>
        </w:pict>
      </w:r>
      <w:r w:rsidR="00814DD6" w:rsidRPr="00666BA7">
        <w:rPr>
          <w:noProof/>
          <w:lang w:val="lv-LV" w:eastAsia="lv-LV"/>
        </w:rPr>
        <w:drawing>
          <wp:inline distT="0" distB="0" distL="0" distR="0">
            <wp:extent cx="526288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7F" w:rsidRDefault="007C007F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7C007F" w:rsidRDefault="007C007F" w:rsidP="007C0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0"/>
          <w:szCs w:val="20"/>
          <w:lang w:val="lv-LV"/>
        </w:rPr>
      </w:pPr>
      <w:r w:rsidRPr="007C007F">
        <w:rPr>
          <w:sz w:val="20"/>
          <w:szCs w:val="20"/>
          <w:lang w:val="lv-LV"/>
        </w:rPr>
        <w:t>Par meitas sabiedrību (B un C) ir uzskatāma iestāde, kurā mātes sabiedrībai (A) ir tiesības noteikt būtiskas meitas sabi</w:t>
      </w:r>
      <w:r w:rsidR="00FE7018">
        <w:rPr>
          <w:sz w:val="20"/>
          <w:szCs w:val="20"/>
          <w:lang w:val="lv-LV"/>
        </w:rPr>
        <w:t>edrības aktivitātes jeb īstenot</w:t>
      </w:r>
      <w:r w:rsidRPr="007C007F">
        <w:rPr>
          <w:sz w:val="20"/>
          <w:szCs w:val="20"/>
          <w:lang w:val="lv-LV"/>
        </w:rPr>
        <w:t xml:space="preserve"> kontrol</w:t>
      </w:r>
      <w:r w:rsidR="00FE7018">
        <w:rPr>
          <w:sz w:val="20"/>
          <w:szCs w:val="20"/>
          <w:lang w:val="lv-LV"/>
        </w:rPr>
        <w:t>i</w:t>
      </w:r>
      <w:r w:rsidRPr="007C007F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 xml:space="preserve">(vismaz 50% </w:t>
      </w:r>
      <w:r w:rsidR="00FE7018">
        <w:rPr>
          <w:sz w:val="20"/>
          <w:szCs w:val="20"/>
          <w:lang w:val="lv-LV"/>
        </w:rPr>
        <w:t>no kapitāla vai balsstiesībām</w:t>
      </w:r>
      <w:r>
        <w:rPr>
          <w:sz w:val="20"/>
          <w:szCs w:val="20"/>
          <w:lang w:val="lv-LV"/>
        </w:rPr>
        <w:t xml:space="preserve">). </w:t>
      </w:r>
      <w:r w:rsidRPr="007C007F">
        <w:rPr>
          <w:sz w:val="20"/>
          <w:szCs w:val="20"/>
          <w:lang w:val="lv-LV"/>
        </w:rPr>
        <w:t xml:space="preserve">Kontroles termins un kritēriji izriet no 10. Starptautiskā </w:t>
      </w:r>
      <w:r w:rsidR="005A0481">
        <w:rPr>
          <w:sz w:val="20"/>
          <w:szCs w:val="20"/>
          <w:lang w:val="lv-LV"/>
        </w:rPr>
        <w:t xml:space="preserve">finanšu pārskata </w:t>
      </w:r>
      <w:r w:rsidRPr="007C007F">
        <w:rPr>
          <w:sz w:val="20"/>
          <w:szCs w:val="20"/>
          <w:lang w:val="lv-LV"/>
        </w:rPr>
        <w:t>standarta</w:t>
      </w:r>
      <w:r w:rsidR="005A0481">
        <w:rPr>
          <w:sz w:val="20"/>
          <w:szCs w:val="20"/>
          <w:lang w:val="lv-LV"/>
        </w:rPr>
        <w:t xml:space="preserve"> </w:t>
      </w:r>
      <w:proofErr w:type="gramStart"/>
      <w:r w:rsidR="005A0481">
        <w:rPr>
          <w:sz w:val="20"/>
          <w:szCs w:val="20"/>
          <w:lang w:val="lv-LV"/>
        </w:rPr>
        <w:t>(</w:t>
      </w:r>
      <w:proofErr w:type="gramEnd"/>
      <w:r w:rsidR="005A0481">
        <w:rPr>
          <w:sz w:val="20"/>
          <w:szCs w:val="20"/>
          <w:lang w:val="lv-LV"/>
        </w:rPr>
        <w:t>IFRS 10)</w:t>
      </w:r>
      <w:r w:rsidRPr="007C007F">
        <w:rPr>
          <w:sz w:val="20"/>
          <w:szCs w:val="20"/>
          <w:lang w:val="lv-LV"/>
        </w:rPr>
        <w:t>.</w:t>
      </w:r>
    </w:p>
    <w:p w:rsidR="005A0481" w:rsidRDefault="005A0481" w:rsidP="007C0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Par </w:t>
      </w:r>
      <w:r w:rsidR="00E76032">
        <w:rPr>
          <w:sz w:val="20"/>
          <w:szCs w:val="20"/>
          <w:lang w:val="lv-LV"/>
        </w:rPr>
        <w:t>saistīto</w:t>
      </w:r>
      <w:r>
        <w:rPr>
          <w:sz w:val="20"/>
          <w:szCs w:val="20"/>
          <w:lang w:val="lv-LV"/>
        </w:rPr>
        <w:t xml:space="preserve"> sabiedrību, kas ietilpst grupā saskaņā ar grāmatvedības konsolidācijas grupas nosacījumiem, ir uzskatāma iestāde, kurā mātes sabiedrība (A) vai meitas sabiedrība (B un C) īsteno būtisku ietekmi (vismaz 20% no </w:t>
      </w:r>
      <w:r w:rsidR="00DD0A4F">
        <w:rPr>
          <w:sz w:val="20"/>
          <w:szCs w:val="20"/>
          <w:lang w:val="lv-LV"/>
        </w:rPr>
        <w:t xml:space="preserve">kapitāla vai </w:t>
      </w:r>
      <w:r>
        <w:rPr>
          <w:sz w:val="20"/>
          <w:szCs w:val="20"/>
          <w:lang w:val="lv-LV"/>
        </w:rPr>
        <w:t>balsstiesībām)</w:t>
      </w:r>
      <w:r w:rsidR="00DD0A4F">
        <w:rPr>
          <w:sz w:val="20"/>
          <w:szCs w:val="20"/>
          <w:lang w:val="lv-LV"/>
        </w:rPr>
        <w:t>, ja vien netiek pierādīts citādāk,</w:t>
      </w:r>
      <w:r>
        <w:rPr>
          <w:sz w:val="20"/>
          <w:szCs w:val="20"/>
          <w:lang w:val="lv-LV"/>
        </w:rPr>
        <w:t xml:space="preserve"> saskaņā ar 28. Starptautis</w:t>
      </w:r>
      <w:r w:rsidR="00E76032">
        <w:rPr>
          <w:sz w:val="20"/>
          <w:szCs w:val="20"/>
          <w:lang w:val="lv-LV"/>
        </w:rPr>
        <w:t>ko grāmatvedības standartu</w:t>
      </w:r>
      <w:r>
        <w:rPr>
          <w:sz w:val="20"/>
          <w:szCs w:val="20"/>
          <w:lang w:val="lv-LV"/>
        </w:rPr>
        <w:t>.</w:t>
      </w:r>
    </w:p>
    <w:p w:rsidR="007C007F" w:rsidRDefault="007C007F" w:rsidP="007C0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Mātes sabiedrība (A) un meitas sabiedrība (B </w:t>
      </w:r>
      <w:r w:rsidR="00DB4B9F">
        <w:rPr>
          <w:sz w:val="20"/>
          <w:szCs w:val="20"/>
          <w:lang w:val="lv-LV"/>
        </w:rPr>
        <w:t xml:space="preserve">un </w:t>
      </w:r>
      <w:r>
        <w:rPr>
          <w:sz w:val="20"/>
          <w:szCs w:val="20"/>
          <w:lang w:val="lv-LV"/>
        </w:rPr>
        <w:t>C) var būt attiecīgi finanšu vai nefinanšu iestāde, bet grupas ietvaros vismaz vienai sabiedrībai ir jābūt kredītiestādei Kredītiestāžu likuma ietvaros.</w:t>
      </w:r>
    </w:p>
    <w:p w:rsidR="007C007F" w:rsidRDefault="007C007F" w:rsidP="007C0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Par sabiedrību, kurā kredītiestādei ir būtiska līdzdalība (D un E) ir uzskatāmās tādas sabiedrības, kurās mātes sabiedrībai (A) vai meitas sabiedrībai (B </w:t>
      </w:r>
      <w:r w:rsidR="00DB4B9F">
        <w:rPr>
          <w:sz w:val="20"/>
          <w:szCs w:val="20"/>
          <w:lang w:val="lv-LV"/>
        </w:rPr>
        <w:t xml:space="preserve">un </w:t>
      </w:r>
      <w:r>
        <w:rPr>
          <w:sz w:val="20"/>
          <w:szCs w:val="20"/>
          <w:lang w:val="lv-LV"/>
        </w:rPr>
        <w:t xml:space="preserve">C) ir vismaz 10% </w:t>
      </w:r>
      <w:r w:rsidR="00FE7018">
        <w:rPr>
          <w:sz w:val="20"/>
          <w:szCs w:val="20"/>
          <w:lang w:val="lv-LV"/>
        </w:rPr>
        <w:t>no kapitāla vai balsstiesībām, vai kas ļauj būtiski ietekmēt attiecīgās sabiedrības vadību</w:t>
      </w:r>
      <w:r>
        <w:rPr>
          <w:sz w:val="20"/>
          <w:szCs w:val="20"/>
          <w:lang w:val="lv-LV"/>
        </w:rPr>
        <w:t xml:space="preserve"> saskaņā ar </w:t>
      </w:r>
      <w:r w:rsidR="00175290">
        <w:rPr>
          <w:sz w:val="20"/>
          <w:szCs w:val="20"/>
          <w:lang w:val="lv-LV"/>
        </w:rPr>
        <w:t>Regulas</w:t>
      </w:r>
      <w:r w:rsidR="00E76032">
        <w:rPr>
          <w:sz w:val="20"/>
          <w:szCs w:val="20"/>
          <w:lang w:val="lv-LV"/>
        </w:rPr>
        <w:t xml:space="preserve"> (ES) Nr. 575/2013 </w:t>
      </w:r>
      <w:r>
        <w:rPr>
          <w:sz w:val="20"/>
          <w:szCs w:val="20"/>
          <w:lang w:val="lv-LV"/>
        </w:rPr>
        <w:t xml:space="preserve">4.panta pirmās daļas 36. punktu. </w:t>
      </w:r>
    </w:p>
    <w:p w:rsidR="007C007F" w:rsidRDefault="007C007F" w:rsidP="007C0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Sabiedrība, kurā kredītiestādei ir būtiska līdzdalība (D </w:t>
      </w:r>
      <w:r w:rsidR="00DB4B9F">
        <w:rPr>
          <w:sz w:val="20"/>
          <w:szCs w:val="20"/>
          <w:lang w:val="lv-LV"/>
        </w:rPr>
        <w:t xml:space="preserve">un </w:t>
      </w:r>
      <w:r>
        <w:rPr>
          <w:sz w:val="20"/>
          <w:szCs w:val="20"/>
          <w:lang w:val="lv-LV"/>
        </w:rPr>
        <w:t>E) var būt gan finanšu, gan nefinanšu iestāde.</w:t>
      </w:r>
    </w:p>
    <w:p w:rsidR="007C007F" w:rsidRPr="007C007F" w:rsidRDefault="007C007F" w:rsidP="007C0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Sabiedrīb</w:t>
      </w:r>
      <w:r w:rsidR="00E224D9">
        <w:rPr>
          <w:sz w:val="20"/>
          <w:szCs w:val="20"/>
          <w:lang w:val="lv-LV"/>
        </w:rPr>
        <w:t>as, kurās mātes sabiedrībai (A) vai</w:t>
      </w:r>
      <w:r>
        <w:rPr>
          <w:sz w:val="20"/>
          <w:szCs w:val="20"/>
          <w:lang w:val="lv-LV"/>
        </w:rPr>
        <w:t xml:space="preserve"> meitas sabiedrībai (B </w:t>
      </w:r>
      <w:r w:rsidR="00DB4B9F">
        <w:rPr>
          <w:sz w:val="20"/>
          <w:szCs w:val="20"/>
          <w:lang w:val="lv-LV"/>
        </w:rPr>
        <w:t xml:space="preserve">un </w:t>
      </w:r>
      <w:r>
        <w:rPr>
          <w:sz w:val="20"/>
          <w:szCs w:val="20"/>
          <w:lang w:val="lv-LV"/>
        </w:rPr>
        <w:t xml:space="preserve">C) ir mazāk par 10% </w:t>
      </w:r>
      <w:r w:rsidR="00FE7018">
        <w:rPr>
          <w:sz w:val="20"/>
          <w:szCs w:val="20"/>
          <w:lang w:val="lv-LV"/>
        </w:rPr>
        <w:t xml:space="preserve">no kapitāla vai balsstiesībām, vai būtiski </w:t>
      </w:r>
      <w:r w:rsidR="00E224D9">
        <w:rPr>
          <w:sz w:val="20"/>
          <w:szCs w:val="20"/>
          <w:lang w:val="lv-LV"/>
        </w:rPr>
        <w:t>netiek ietekmēta</w:t>
      </w:r>
      <w:r w:rsidR="00FE7018">
        <w:rPr>
          <w:sz w:val="20"/>
          <w:szCs w:val="20"/>
          <w:lang w:val="lv-LV"/>
        </w:rPr>
        <w:t xml:space="preserve"> attiecīgās sabiedrības vadīb</w:t>
      </w:r>
      <w:r w:rsidR="00E224D9">
        <w:rPr>
          <w:sz w:val="20"/>
          <w:szCs w:val="20"/>
          <w:lang w:val="lv-LV"/>
        </w:rPr>
        <w:t>a</w:t>
      </w:r>
      <w:r>
        <w:rPr>
          <w:sz w:val="20"/>
          <w:szCs w:val="20"/>
          <w:lang w:val="lv-LV"/>
        </w:rPr>
        <w:t>, nav ietveramas šajos amata vietu uzskaites nosacījumos</w:t>
      </w:r>
      <w:r w:rsidR="00E76032">
        <w:rPr>
          <w:sz w:val="20"/>
          <w:szCs w:val="20"/>
          <w:lang w:val="lv-LV"/>
        </w:rPr>
        <w:t>, t.i., tiek skaitītas kā atsevišķas amata vietas</w:t>
      </w:r>
      <w:r>
        <w:rPr>
          <w:sz w:val="20"/>
          <w:szCs w:val="20"/>
          <w:lang w:val="lv-LV"/>
        </w:rPr>
        <w:t>.</w:t>
      </w:r>
    </w:p>
    <w:p w:rsidR="007C007F" w:rsidRDefault="007C007F" w:rsidP="007C007F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  <w:lang w:val="lv-LV"/>
        </w:rPr>
      </w:pPr>
    </w:p>
    <w:p w:rsidR="007C007F" w:rsidRPr="007C007F" w:rsidRDefault="007C007F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0"/>
          <w:szCs w:val="20"/>
          <w:lang w:val="lv-LV"/>
        </w:rPr>
      </w:pPr>
    </w:p>
    <w:p w:rsidR="00EE53C5" w:rsidRPr="00666BA7" w:rsidRDefault="00B235A5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  <w:r w:rsidRPr="00666BA7">
        <w:rPr>
          <w:lang w:val="lv-LV"/>
        </w:rPr>
        <w:t>1.attēls</w:t>
      </w:r>
    </w:p>
    <w:p w:rsidR="00EE53C5" w:rsidRPr="00666BA7" w:rsidRDefault="00B235A5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  <w:lang w:val="lv-LV"/>
        </w:rPr>
      </w:pPr>
      <w:r w:rsidRPr="00666BA7">
        <w:rPr>
          <w:b/>
          <w:lang w:val="lv-LV"/>
        </w:rPr>
        <w:t xml:space="preserve">Padomes vai valdes locekļa amatu vietu </w:t>
      </w:r>
      <w:r w:rsidR="00A8297E" w:rsidRPr="00666BA7">
        <w:rPr>
          <w:b/>
          <w:lang w:val="lv-LV"/>
        </w:rPr>
        <w:t>uzskaites nosacījumi</w:t>
      </w:r>
    </w:p>
    <w:p w:rsidR="00EE53C5" w:rsidRPr="00666BA7" w:rsidRDefault="00EE53C5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A8297E" w:rsidRPr="00666BA7" w:rsidRDefault="00B235A5" w:rsidP="00116F38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  <w:r w:rsidRPr="00666BA7">
        <w:rPr>
          <w:lang w:val="lv-LV"/>
        </w:rPr>
        <w:t xml:space="preserve">Ja persona ir </w:t>
      </w:r>
      <w:r w:rsidR="00A8297E" w:rsidRPr="00666BA7">
        <w:rPr>
          <w:lang w:val="lv-LV"/>
        </w:rPr>
        <w:t>padomes vai valdes</w:t>
      </w:r>
      <w:r w:rsidRPr="00666BA7">
        <w:rPr>
          <w:lang w:val="lv-LV"/>
        </w:rPr>
        <w:t xml:space="preserve"> loceklis jebkurā sabiedrībā no A līdz </w:t>
      </w:r>
      <w:r w:rsidR="007E3EE1" w:rsidRPr="00666BA7">
        <w:rPr>
          <w:lang w:val="lv-LV"/>
        </w:rPr>
        <w:t xml:space="preserve">E </w:t>
      </w:r>
      <w:r w:rsidRPr="00666BA7">
        <w:rPr>
          <w:lang w:val="lv-LV"/>
        </w:rPr>
        <w:t xml:space="preserve">kā redzams </w:t>
      </w:r>
      <w:r w:rsidR="00A8297E" w:rsidRPr="00666BA7">
        <w:rPr>
          <w:lang w:val="lv-LV"/>
        </w:rPr>
        <w:t>1.attēlā</w:t>
      </w:r>
      <w:r w:rsidRPr="00666BA7">
        <w:rPr>
          <w:lang w:val="lv-LV"/>
        </w:rPr>
        <w:t xml:space="preserve">, tad </w:t>
      </w:r>
      <w:r w:rsidR="00A8297E" w:rsidRPr="00666BA7">
        <w:rPr>
          <w:lang w:val="lv-LV"/>
        </w:rPr>
        <w:t>kopā tās tiek skaitīt</w:t>
      </w:r>
      <w:r w:rsidR="001B063A" w:rsidRPr="00666BA7">
        <w:rPr>
          <w:lang w:val="lv-LV"/>
        </w:rPr>
        <w:t>a</w:t>
      </w:r>
      <w:r w:rsidR="00A8297E" w:rsidRPr="00666BA7">
        <w:rPr>
          <w:lang w:val="lv-LV"/>
        </w:rPr>
        <w:t>s kā divas padomes vai valdes locekļa amata vietas</w:t>
      </w:r>
      <w:r w:rsidR="001206B1" w:rsidRPr="00666BA7">
        <w:rPr>
          <w:lang w:val="lv-LV"/>
        </w:rPr>
        <w:t>,</w:t>
      </w:r>
      <w:r w:rsidR="00A8297E" w:rsidRPr="00666BA7">
        <w:rPr>
          <w:lang w:val="lv-LV"/>
        </w:rPr>
        <w:t xml:space="preserve"> nevis viena</w:t>
      </w:r>
      <w:r w:rsidR="007C007F">
        <w:rPr>
          <w:lang w:val="lv-LV"/>
        </w:rPr>
        <w:t>, jo Kredītiestāžu likuma 26.</w:t>
      </w:r>
      <w:r w:rsidR="00EA70A3" w:rsidRPr="00EA70A3">
        <w:rPr>
          <w:vertAlign w:val="superscript"/>
          <w:lang w:val="lv-LV"/>
        </w:rPr>
        <w:t>1</w:t>
      </w:r>
      <w:r w:rsidR="007C007F">
        <w:rPr>
          <w:lang w:val="lv-LV"/>
        </w:rPr>
        <w:t xml:space="preserve"> panta </w:t>
      </w:r>
      <w:r w:rsidR="00F3008A">
        <w:rPr>
          <w:lang w:val="lv-LV"/>
        </w:rPr>
        <w:t>trešās</w:t>
      </w:r>
      <w:r w:rsidR="007C007F">
        <w:rPr>
          <w:lang w:val="lv-LV"/>
        </w:rPr>
        <w:t xml:space="preserve"> daļas 1. punktā minētās sabiedrības skaita atsevišķi no šī paša panta </w:t>
      </w:r>
      <w:r w:rsidR="00F3008A">
        <w:rPr>
          <w:lang w:val="lv-LV"/>
        </w:rPr>
        <w:t>trešās</w:t>
      </w:r>
      <w:r w:rsidR="007C007F">
        <w:rPr>
          <w:lang w:val="lv-LV"/>
        </w:rPr>
        <w:t xml:space="preserve"> daļas 3. punktā minētajām sabiedrībām</w:t>
      </w:r>
      <w:r w:rsidR="00F25190" w:rsidRPr="00666BA7">
        <w:rPr>
          <w:lang w:val="lv-LV"/>
        </w:rPr>
        <w:t xml:space="preserve"> </w:t>
      </w:r>
      <w:r w:rsidR="001F0BA4" w:rsidRPr="00666BA7">
        <w:rPr>
          <w:lang w:val="lv-LV"/>
        </w:rPr>
        <w:t>(</w:t>
      </w:r>
      <w:r w:rsidR="00F25190" w:rsidRPr="00666BA7">
        <w:rPr>
          <w:lang w:val="lv-LV"/>
        </w:rPr>
        <w:t>A+B+C</w:t>
      </w:r>
      <w:r w:rsidR="001F0BA4" w:rsidRPr="00666BA7">
        <w:rPr>
          <w:lang w:val="lv-LV"/>
        </w:rPr>
        <w:t xml:space="preserve"> ir </w:t>
      </w:r>
      <w:r w:rsidR="00F25190" w:rsidRPr="00666BA7">
        <w:rPr>
          <w:lang w:val="lv-LV"/>
        </w:rPr>
        <w:t>viena amata vieta</w:t>
      </w:r>
      <w:r w:rsidR="001F0BA4" w:rsidRPr="00666BA7">
        <w:rPr>
          <w:lang w:val="lv-LV"/>
        </w:rPr>
        <w:t>, un</w:t>
      </w:r>
      <w:r w:rsidR="00F25190" w:rsidRPr="00666BA7">
        <w:rPr>
          <w:lang w:val="lv-LV"/>
        </w:rPr>
        <w:t xml:space="preserve"> </w:t>
      </w:r>
      <w:r w:rsidR="001F0BA4" w:rsidRPr="00666BA7">
        <w:rPr>
          <w:lang w:val="lv-LV"/>
        </w:rPr>
        <w:t xml:space="preserve">D+E </w:t>
      </w:r>
      <w:r w:rsidR="00262F28" w:rsidRPr="00666BA7">
        <w:rPr>
          <w:lang w:val="lv-LV"/>
        </w:rPr>
        <w:t>ir otra amata vieta</w:t>
      </w:r>
      <w:r w:rsidR="001F0BA4" w:rsidRPr="00666BA7">
        <w:rPr>
          <w:lang w:val="lv-LV"/>
        </w:rPr>
        <w:t>)</w:t>
      </w:r>
      <w:r w:rsidR="001206B1" w:rsidRPr="00666BA7">
        <w:rPr>
          <w:lang w:val="lv-LV"/>
        </w:rPr>
        <w:t xml:space="preserve">. </w:t>
      </w:r>
      <w:r w:rsidR="00A8297E" w:rsidRPr="00666BA7">
        <w:rPr>
          <w:lang w:val="lv-LV"/>
        </w:rPr>
        <w:t xml:space="preserve">Pat ja persona ir valdes vai padomes loceklis sabiedrībā A un tikai sabiedrībā </w:t>
      </w:r>
      <w:r w:rsidR="001F0BA4" w:rsidRPr="00666BA7">
        <w:rPr>
          <w:lang w:val="lv-LV"/>
        </w:rPr>
        <w:t>D</w:t>
      </w:r>
      <w:r w:rsidR="00A8297E" w:rsidRPr="00666BA7">
        <w:rPr>
          <w:lang w:val="lv-LV"/>
        </w:rPr>
        <w:t xml:space="preserve">, tad arī šādā gadījumā kopā tās tiek skaitītas kā divas </w:t>
      </w:r>
      <w:r w:rsidR="007C007F">
        <w:rPr>
          <w:lang w:val="lv-LV"/>
        </w:rPr>
        <w:t xml:space="preserve">atsevišķas </w:t>
      </w:r>
      <w:r w:rsidR="00A8297E" w:rsidRPr="00666BA7">
        <w:rPr>
          <w:lang w:val="lv-LV"/>
        </w:rPr>
        <w:t>padomes vai valdes locekļa amata vietas, neatkarīgi no sabiedrību, kurā kredītiestādei ir būtiska līdzdalība, skaita un kurās persona ieņem valdes vai padomes locekļa amata vietu. Taču</w:t>
      </w:r>
      <w:r w:rsidR="0091731D" w:rsidRPr="00666BA7">
        <w:rPr>
          <w:lang w:val="lv-LV"/>
        </w:rPr>
        <w:t>,</w:t>
      </w:r>
      <w:r w:rsidR="00A8297E" w:rsidRPr="00666BA7">
        <w:rPr>
          <w:lang w:val="lv-LV"/>
        </w:rPr>
        <w:t xml:space="preserve"> ja persona ir padomes vai valdes loceklis sabiedrībā A, B un C, kas pēc būtības atbilst Kredītiestāžu likuma 26.</w:t>
      </w:r>
      <w:r w:rsidR="00A8297E" w:rsidRPr="00666BA7">
        <w:rPr>
          <w:vertAlign w:val="superscript"/>
          <w:lang w:val="lv-LV"/>
        </w:rPr>
        <w:t>1</w:t>
      </w:r>
      <w:r w:rsidR="00A8297E" w:rsidRPr="00666BA7">
        <w:rPr>
          <w:lang w:val="lv-LV"/>
        </w:rPr>
        <w:t xml:space="preserve"> panta</w:t>
      </w:r>
      <w:r w:rsidR="0091731D" w:rsidRPr="00666BA7">
        <w:rPr>
          <w:lang w:val="lv-LV"/>
        </w:rPr>
        <w:t xml:space="preserve"> </w:t>
      </w:r>
      <w:r w:rsidR="00F3008A">
        <w:rPr>
          <w:lang w:val="lv-LV"/>
        </w:rPr>
        <w:t>trešās</w:t>
      </w:r>
      <w:r w:rsidR="0091731D" w:rsidRPr="00666BA7">
        <w:rPr>
          <w:lang w:val="lv-LV"/>
        </w:rPr>
        <w:t xml:space="preserve"> daļas 1. punkta</w:t>
      </w:r>
      <w:r w:rsidR="00A8297E" w:rsidRPr="00666BA7">
        <w:rPr>
          <w:lang w:val="lv-LV"/>
        </w:rPr>
        <w:t xml:space="preserve"> nosacījumiem, tad šādi valdes vai padomes locekļa amati tiek uzskatīti kā viena padomes vai valdes locekļa amata</w:t>
      </w:r>
      <w:r w:rsidR="00E76032">
        <w:rPr>
          <w:lang w:val="lv-LV"/>
        </w:rPr>
        <w:t xml:space="preserve"> vieta, bet ja persona ir valdes loceklis sabiedrībā A un padomes loceklis sabiedrībā B vai C, tad tās tiek uzskatītas kā divas amata vietas.</w:t>
      </w:r>
    </w:p>
    <w:p w:rsidR="00EE53C5" w:rsidRPr="00666BA7" w:rsidRDefault="00EE53C5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EE53C5" w:rsidRPr="00666BA7" w:rsidRDefault="00AA6FD7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  <w:r w:rsidRPr="00666BA7">
        <w:rPr>
          <w:lang w:val="lv-LV"/>
        </w:rPr>
        <w:t xml:space="preserve">Kā viena padomes vai valdes locekļa amata vieta tiek uzskatīta arī padomes vai valdes locekļa amata vieta </w:t>
      </w:r>
      <w:r w:rsidR="003A3664" w:rsidRPr="00666BA7">
        <w:rPr>
          <w:lang w:val="lv-LV"/>
        </w:rPr>
        <w:t>sabiedrībās</w:t>
      </w:r>
      <w:r w:rsidRPr="00666BA7">
        <w:rPr>
          <w:lang w:val="lv-LV"/>
        </w:rPr>
        <w:t>, kuras atbilst Kredītiestāžu likuma 26.</w:t>
      </w:r>
      <w:r w:rsidRPr="00666BA7">
        <w:rPr>
          <w:vertAlign w:val="superscript"/>
          <w:lang w:val="lv-LV"/>
        </w:rPr>
        <w:t>1</w:t>
      </w:r>
      <w:r w:rsidRPr="00666BA7">
        <w:rPr>
          <w:lang w:val="lv-LV"/>
        </w:rPr>
        <w:t xml:space="preserve"> panta </w:t>
      </w:r>
      <w:r w:rsidR="00F3008A">
        <w:rPr>
          <w:lang w:val="lv-LV"/>
        </w:rPr>
        <w:t>trešās</w:t>
      </w:r>
      <w:r w:rsidRPr="00666BA7">
        <w:rPr>
          <w:lang w:val="lv-LV"/>
        </w:rPr>
        <w:t xml:space="preserve"> daļas 2. punktā noteiktajam. Tādā gadījumā amata vietu uzskaite ir identiska Kredītiestāžu likuma 26.</w:t>
      </w:r>
      <w:r w:rsidRPr="00666BA7">
        <w:rPr>
          <w:vertAlign w:val="superscript"/>
          <w:lang w:val="lv-LV"/>
        </w:rPr>
        <w:t>1</w:t>
      </w:r>
      <w:r w:rsidRPr="00666BA7">
        <w:rPr>
          <w:lang w:val="lv-LV"/>
        </w:rPr>
        <w:t xml:space="preserve"> panta </w:t>
      </w:r>
      <w:r w:rsidR="00F3008A">
        <w:rPr>
          <w:lang w:val="lv-LV"/>
        </w:rPr>
        <w:t>trešās</w:t>
      </w:r>
      <w:r w:rsidRPr="00666BA7">
        <w:rPr>
          <w:lang w:val="lv-LV"/>
        </w:rPr>
        <w:t xml:space="preserve"> daļas 3. punkta nosacījumiem.</w:t>
      </w:r>
    </w:p>
    <w:p w:rsidR="00EE53C5" w:rsidRPr="00666BA7" w:rsidRDefault="00EE53C5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</w:p>
    <w:p w:rsidR="00626F24" w:rsidRPr="001A40BF" w:rsidRDefault="00DE2302" w:rsidP="001A40BF">
      <w:pPr>
        <w:autoSpaceDE w:val="0"/>
        <w:autoSpaceDN w:val="0"/>
        <w:adjustRightInd w:val="0"/>
        <w:spacing w:line="240" w:lineRule="atLeast"/>
        <w:ind w:firstLine="720"/>
        <w:jc w:val="both"/>
        <w:rPr>
          <w:lang w:val="lv-LV"/>
        </w:rPr>
      </w:pPr>
      <w:r w:rsidRPr="00666BA7">
        <w:rPr>
          <w:lang w:val="lv-LV"/>
        </w:rPr>
        <w:t xml:space="preserve">Neatkarīgi no </w:t>
      </w:r>
      <w:r w:rsidR="0029390F" w:rsidRPr="001A40BF">
        <w:rPr>
          <w:lang w:val="lv-LV"/>
        </w:rPr>
        <w:t>Kredītiestāžu likuma 26.</w:t>
      </w:r>
      <w:r w:rsidR="0029390F" w:rsidRPr="002B0089">
        <w:rPr>
          <w:vertAlign w:val="superscript"/>
          <w:lang w:val="lv-LV"/>
        </w:rPr>
        <w:t>1</w:t>
      </w:r>
      <w:r w:rsidR="0029390F" w:rsidRPr="001A40BF">
        <w:rPr>
          <w:lang w:val="lv-LV"/>
        </w:rPr>
        <w:t xml:space="preserve"> panta prasību piemērošanas, </w:t>
      </w:r>
      <w:r w:rsidR="00C97724" w:rsidRPr="001A40BF">
        <w:rPr>
          <w:lang w:val="lv-LV"/>
        </w:rPr>
        <w:t>kredītiestādēm</w:t>
      </w:r>
      <w:r w:rsidR="0029390F" w:rsidRPr="001A40BF">
        <w:rPr>
          <w:lang w:val="lv-LV"/>
        </w:rPr>
        <w:t xml:space="preserve"> ir nepieciešams nodrošināt </w:t>
      </w:r>
      <w:r w:rsidR="00590FBB" w:rsidRPr="00666BA7">
        <w:rPr>
          <w:lang w:val="lv-LV"/>
        </w:rPr>
        <w:t>Komisijas normatīv</w:t>
      </w:r>
      <w:r w:rsidR="001A40BF">
        <w:rPr>
          <w:lang w:val="lv-LV"/>
        </w:rPr>
        <w:t>o</w:t>
      </w:r>
      <w:r w:rsidR="00590FBB" w:rsidRPr="00666BA7">
        <w:rPr>
          <w:lang w:val="lv-LV"/>
        </w:rPr>
        <w:t xml:space="preserve"> noteikum</w:t>
      </w:r>
      <w:r w:rsidR="001A40BF">
        <w:rPr>
          <w:lang w:val="lv-LV"/>
        </w:rPr>
        <w:t>u</w:t>
      </w:r>
      <w:r w:rsidR="00590FBB" w:rsidRPr="00666BA7">
        <w:rPr>
          <w:lang w:val="lv-LV"/>
        </w:rPr>
        <w:t xml:space="preserve"> Nr. 233 "Iekšējās kontroles sistēmas izveides normatīvie noteikumi"</w:t>
      </w:r>
      <w:r w:rsidR="00590FBB">
        <w:rPr>
          <w:lang w:val="lv-LV"/>
        </w:rPr>
        <w:t xml:space="preserve"> </w:t>
      </w:r>
      <w:r w:rsidR="0029390F" w:rsidRPr="001A40BF">
        <w:rPr>
          <w:lang w:val="lv-LV"/>
        </w:rPr>
        <w:t>27. punkta prasības par padomes un valdes locekļu pietiekamu laika veltīšanu savu pienākumu izpildei.</w:t>
      </w:r>
    </w:p>
    <w:p w:rsidR="00E8576E" w:rsidRDefault="00E8576E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lv-LV"/>
        </w:rPr>
      </w:pPr>
    </w:p>
    <w:p w:rsidR="00E8576E" w:rsidRPr="00B63610" w:rsidRDefault="00E8576E" w:rsidP="00B63610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63610">
        <w:rPr>
          <w:sz w:val="24"/>
          <w:szCs w:val="24"/>
          <w:lang w:val="lv-LV"/>
        </w:rPr>
        <w:t xml:space="preserve">Papildus informācija ir pieejama Eiropas Centrālās bankas </w:t>
      </w:r>
      <w:r w:rsidR="00B63610" w:rsidRPr="00B63610">
        <w:rPr>
          <w:sz w:val="24"/>
          <w:szCs w:val="24"/>
          <w:lang w:val="lv-LV"/>
        </w:rPr>
        <w:t xml:space="preserve">(turpmāk – ECB) </w:t>
      </w:r>
      <w:r w:rsidRPr="00B63610">
        <w:rPr>
          <w:sz w:val="24"/>
          <w:szCs w:val="24"/>
          <w:lang w:val="lv-LV"/>
        </w:rPr>
        <w:t>Norādījum</w:t>
      </w:r>
      <w:r w:rsidR="00F3008A" w:rsidRPr="00B63610">
        <w:rPr>
          <w:sz w:val="24"/>
          <w:szCs w:val="24"/>
          <w:lang w:val="lv-LV"/>
        </w:rPr>
        <w:t>os</w:t>
      </w:r>
      <w:r w:rsidRPr="00B63610">
        <w:rPr>
          <w:sz w:val="24"/>
          <w:szCs w:val="24"/>
          <w:lang w:val="lv-LV"/>
        </w:rPr>
        <w:t xml:space="preserve"> </w:t>
      </w:r>
      <w:proofErr w:type="gramStart"/>
      <w:r w:rsidRPr="00B63610">
        <w:rPr>
          <w:sz w:val="24"/>
          <w:szCs w:val="24"/>
          <w:lang w:val="lv-LV"/>
        </w:rPr>
        <w:t>par atbilstības un piemērotības</w:t>
      </w:r>
      <w:proofErr w:type="gramEnd"/>
      <w:r w:rsidRPr="00B63610">
        <w:rPr>
          <w:sz w:val="24"/>
          <w:szCs w:val="24"/>
          <w:lang w:val="lv-LV"/>
        </w:rPr>
        <w:t xml:space="preserve"> novērtējumu</w:t>
      </w:r>
      <w:r w:rsidRPr="00B63610">
        <w:rPr>
          <w:sz w:val="24"/>
          <w:szCs w:val="24"/>
          <w:vertAlign w:val="superscript"/>
          <w:lang w:val="lv-LV"/>
        </w:rPr>
        <w:footnoteReference w:id="2"/>
      </w:r>
      <w:r w:rsidRPr="00B63610">
        <w:rPr>
          <w:sz w:val="24"/>
          <w:szCs w:val="24"/>
          <w:lang w:val="lv-LV"/>
        </w:rPr>
        <w:t xml:space="preserve"> (</w:t>
      </w:r>
      <w:r w:rsidR="00F3008A" w:rsidRPr="00B63610">
        <w:rPr>
          <w:sz w:val="24"/>
          <w:szCs w:val="24"/>
          <w:lang w:val="lv-LV"/>
        </w:rPr>
        <w:t>piemērām, norādījumu 4.4. sadaļā</w:t>
      </w:r>
      <w:r w:rsidRPr="00B63610">
        <w:rPr>
          <w:sz w:val="24"/>
          <w:szCs w:val="24"/>
          <w:lang w:val="lv-LV"/>
        </w:rPr>
        <w:t xml:space="preserve"> par </w:t>
      </w:r>
      <w:r w:rsidR="00F3008A" w:rsidRPr="00B63610">
        <w:rPr>
          <w:sz w:val="24"/>
          <w:szCs w:val="24"/>
          <w:lang w:val="lv-LV"/>
        </w:rPr>
        <w:t>nepieciešamo laika patēriņu</w:t>
      </w:r>
      <w:r w:rsidR="00B63610" w:rsidRPr="00B63610">
        <w:rPr>
          <w:sz w:val="24"/>
          <w:szCs w:val="24"/>
          <w:lang w:val="lv-LV"/>
        </w:rPr>
        <w:t xml:space="preserve"> amata pienākumu izpildei</w:t>
      </w:r>
      <w:r w:rsidRPr="00B63610">
        <w:rPr>
          <w:sz w:val="24"/>
          <w:szCs w:val="24"/>
          <w:lang w:val="lv-LV"/>
        </w:rPr>
        <w:t xml:space="preserve">), kas paskaidro Direktīvas 2013/36/ES </w:t>
      </w:r>
      <w:r w:rsidR="00B63610" w:rsidRPr="00B63610">
        <w:rPr>
          <w:i/>
          <w:sz w:val="24"/>
          <w:szCs w:val="24"/>
          <w:lang w:val="lv-LV"/>
        </w:rPr>
        <w:t xml:space="preserve">par piekļuvi kredītiestāžu darbībai un kredītiestāžu un ieguldījumu brokeru sabiedrību </w:t>
      </w:r>
      <w:proofErr w:type="spellStart"/>
      <w:r w:rsidR="00B63610" w:rsidRPr="00B63610">
        <w:rPr>
          <w:i/>
          <w:sz w:val="24"/>
          <w:szCs w:val="24"/>
          <w:lang w:val="lv-LV"/>
        </w:rPr>
        <w:t>prudenciālo</w:t>
      </w:r>
      <w:proofErr w:type="spellEnd"/>
      <w:r w:rsidR="00B63610" w:rsidRPr="00B63610">
        <w:rPr>
          <w:i/>
          <w:sz w:val="24"/>
          <w:szCs w:val="24"/>
          <w:lang w:val="lv-LV"/>
        </w:rPr>
        <w:t xml:space="preserve"> uzraudzību, ar ko groza Direktīvu 2002/87/EK un atceļ Direktīvas 2006/48/EK un 2006/49/EK</w:t>
      </w:r>
      <w:r w:rsidR="00B63610">
        <w:rPr>
          <w:sz w:val="24"/>
          <w:szCs w:val="24"/>
          <w:lang w:val="lv-LV"/>
        </w:rPr>
        <w:t xml:space="preserve"> </w:t>
      </w:r>
      <w:r w:rsidRPr="00B63610">
        <w:rPr>
          <w:sz w:val="24"/>
          <w:szCs w:val="24"/>
          <w:lang w:val="lv-LV"/>
        </w:rPr>
        <w:t xml:space="preserve">noteiktos kritērijus attiecībā uz amatpersonu atbilstības un piemērotības novērtējumu. </w:t>
      </w:r>
    </w:p>
    <w:p w:rsidR="00E8576E" w:rsidRPr="00666BA7" w:rsidRDefault="00E8576E" w:rsidP="00B63610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val="lv-LV"/>
        </w:rPr>
      </w:pPr>
    </w:p>
    <w:sectPr w:rsidR="00E8576E" w:rsidRPr="00666BA7" w:rsidSect="00086E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31" w:rsidRDefault="00F46E31" w:rsidP="009761C8">
      <w:r>
        <w:separator/>
      </w:r>
    </w:p>
  </w:endnote>
  <w:endnote w:type="continuationSeparator" w:id="0">
    <w:p w:rsidR="00F46E31" w:rsidRDefault="00F46E31" w:rsidP="0097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31" w:rsidRDefault="00F46E31" w:rsidP="009761C8">
      <w:r>
        <w:separator/>
      </w:r>
    </w:p>
  </w:footnote>
  <w:footnote w:type="continuationSeparator" w:id="0">
    <w:p w:rsidR="00F46E31" w:rsidRDefault="00F46E31" w:rsidP="009761C8">
      <w:r>
        <w:continuationSeparator/>
      </w:r>
    </w:p>
  </w:footnote>
  <w:footnote w:id="1">
    <w:p w:rsidR="00201A8E" w:rsidRDefault="00201A8E" w:rsidP="00201A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63610">
        <w:rPr>
          <w:lang w:val="lv-LV"/>
        </w:rPr>
        <w:t>Pamatnostādņu pārstrādātā versija atrodama EBI mājas lapā:</w:t>
      </w:r>
      <w:r>
        <w:br/>
      </w:r>
      <w:hyperlink r:id="rId1" w:history="1">
        <w:r w:rsidRPr="00666BA7">
          <w:rPr>
            <w:rStyle w:val="Hyperlink"/>
          </w:rPr>
          <w:t>http://www.eba.europa.eu/regulation-and-policy/internal-governance/joint-esma-and-eba-guidelines-on-the-assessment-of-the-suitability-of-members-of-the-management-body;jsessionid=09E2203C62F18AF9839DBFACB8D83413</w:t>
        </w:r>
      </w:hyperlink>
    </w:p>
  </w:footnote>
  <w:footnote w:id="2">
    <w:p w:rsidR="00B63610" w:rsidRDefault="00E8576E" w:rsidP="00B63610">
      <w:pPr>
        <w:pStyle w:val="FootnoteText"/>
        <w:jc w:val="both"/>
      </w:pPr>
      <w:r w:rsidRPr="00B63610">
        <w:rPr>
          <w:rStyle w:val="FootnoteReference"/>
        </w:rPr>
        <w:footnoteRef/>
      </w:r>
      <w:r w:rsidRPr="00B63610">
        <w:t xml:space="preserve"> </w:t>
      </w:r>
      <w:r w:rsidR="00B63610" w:rsidRPr="0019388D">
        <w:t>13.</w:t>
      </w:r>
      <w:r w:rsidR="00B63610" w:rsidRPr="00B63610">
        <w:rPr>
          <w:lang w:val="lv-LV"/>
        </w:rPr>
        <w:t>06.2017. Komisijas mājas lapā publicētie ECB norādījumi:</w:t>
      </w:r>
    </w:p>
    <w:p w:rsidR="00E8576E" w:rsidRPr="00B63610" w:rsidRDefault="00534870" w:rsidP="00B63610">
      <w:pPr>
        <w:pStyle w:val="FootnoteText"/>
        <w:jc w:val="both"/>
      </w:pPr>
      <w:hyperlink r:id="rId2" w:history="1">
        <w:r w:rsidR="00E8576E" w:rsidRPr="00B63610">
          <w:rPr>
            <w:rStyle w:val="Hyperlink"/>
          </w:rPr>
          <w:t>http://www.fktk.lv/lv/tiesibu-akti/kreditiestades/es-normativie-akti/ecb-noradijumi.html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814"/>
    <w:multiLevelType w:val="hybridMultilevel"/>
    <w:tmpl w:val="0680C8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2E5B"/>
    <w:multiLevelType w:val="hybridMultilevel"/>
    <w:tmpl w:val="01C2DAE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94D"/>
    <w:rsid w:val="00003516"/>
    <w:rsid w:val="0006321D"/>
    <w:rsid w:val="00070AE5"/>
    <w:rsid w:val="00082354"/>
    <w:rsid w:val="00086E63"/>
    <w:rsid w:val="000E458B"/>
    <w:rsid w:val="00116F38"/>
    <w:rsid w:val="001206B1"/>
    <w:rsid w:val="00156C97"/>
    <w:rsid w:val="00175290"/>
    <w:rsid w:val="00176677"/>
    <w:rsid w:val="00193774"/>
    <w:rsid w:val="001A40BF"/>
    <w:rsid w:val="001B063A"/>
    <w:rsid w:val="001D18FD"/>
    <w:rsid w:val="001E2521"/>
    <w:rsid w:val="001F0BA4"/>
    <w:rsid w:val="00201A8E"/>
    <w:rsid w:val="00237824"/>
    <w:rsid w:val="0024294D"/>
    <w:rsid w:val="0024770A"/>
    <w:rsid w:val="002572AD"/>
    <w:rsid w:val="00262F28"/>
    <w:rsid w:val="002746A8"/>
    <w:rsid w:val="00291FA2"/>
    <w:rsid w:val="0029390F"/>
    <w:rsid w:val="002B0089"/>
    <w:rsid w:val="00320939"/>
    <w:rsid w:val="003A3664"/>
    <w:rsid w:val="003F04A8"/>
    <w:rsid w:val="00442AF7"/>
    <w:rsid w:val="00471795"/>
    <w:rsid w:val="004819E5"/>
    <w:rsid w:val="004B7E70"/>
    <w:rsid w:val="00531D6F"/>
    <w:rsid w:val="00534870"/>
    <w:rsid w:val="00550C10"/>
    <w:rsid w:val="00590FBB"/>
    <w:rsid w:val="005A0481"/>
    <w:rsid w:val="005C7727"/>
    <w:rsid w:val="005D5F75"/>
    <w:rsid w:val="005E643D"/>
    <w:rsid w:val="00607D89"/>
    <w:rsid w:val="00612921"/>
    <w:rsid w:val="00613C76"/>
    <w:rsid w:val="00623A4E"/>
    <w:rsid w:val="00626F24"/>
    <w:rsid w:val="00656A83"/>
    <w:rsid w:val="00666BA7"/>
    <w:rsid w:val="006807F2"/>
    <w:rsid w:val="006B3EAE"/>
    <w:rsid w:val="006F2087"/>
    <w:rsid w:val="00736243"/>
    <w:rsid w:val="00746514"/>
    <w:rsid w:val="00746E05"/>
    <w:rsid w:val="0077132D"/>
    <w:rsid w:val="007736F5"/>
    <w:rsid w:val="00777B9E"/>
    <w:rsid w:val="007C007F"/>
    <w:rsid w:val="007D729A"/>
    <w:rsid w:val="007E3EE1"/>
    <w:rsid w:val="007F1728"/>
    <w:rsid w:val="00801366"/>
    <w:rsid w:val="0080158D"/>
    <w:rsid w:val="00814DD6"/>
    <w:rsid w:val="00830CFB"/>
    <w:rsid w:val="008777E1"/>
    <w:rsid w:val="00880C82"/>
    <w:rsid w:val="008949B5"/>
    <w:rsid w:val="00895E33"/>
    <w:rsid w:val="008E3F42"/>
    <w:rsid w:val="008E629D"/>
    <w:rsid w:val="008F3DB7"/>
    <w:rsid w:val="00912ABB"/>
    <w:rsid w:val="0091731D"/>
    <w:rsid w:val="009761C8"/>
    <w:rsid w:val="0097655E"/>
    <w:rsid w:val="009B1DA1"/>
    <w:rsid w:val="009B2FED"/>
    <w:rsid w:val="009B5D28"/>
    <w:rsid w:val="009B5D9F"/>
    <w:rsid w:val="009D4453"/>
    <w:rsid w:val="00A00213"/>
    <w:rsid w:val="00A758B4"/>
    <w:rsid w:val="00A8297E"/>
    <w:rsid w:val="00AA6FD7"/>
    <w:rsid w:val="00AB56A8"/>
    <w:rsid w:val="00AC1686"/>
    <w:rsid w:val="00B1249A"/>
    <w:rsid w:val="00B235A5"/>
    <w:rsid w:val="00B3105F"/>
    <w:rsid w:val="00B31977"/>
    <w:rsid w:val="00B42F3D"/>
    <w:rsid w:val="00B44AA8"/>
    <w:rsid w:val="00B5573C"/>
    <w:rsid w:val="00B63610"/>
    <w:rsid w:val="00B63801"/>
    <w:rsid w:val="00B73DEB"/>
    <w:rsid w:val="00BC4A1F"/>
    <w:rsid w:val="00BE2E9B"/>
    <w:rsid w:val="00C1533D"/>
    <w:rsid w:val="00C604DF"/>
    <w:rsid w:val="00C659AC"/>
    <w:rsid w:val="00C832FF"/>
    <w:rsid w:val="00C97724"/>
    <w:rsid w:val="00CC2CC0"/>
    <w:rsid w:val="00CC6B7F"/>
    <w:rsid w:val="00CD5024"/>
    <w:rsid w:val="00D31C1D"/>
    <w:rsid w:val="00D36EC7"/>
    <w:rsid w:val="00D4428F"/>
    <w:rsid w:val="00D54C22"/>
    <w:rsid w:val="00D71BC6"/>
    <w:rsid w:val="00DA09B1"/>
    <w:rsid w:val="00DB464B"/>
    <w:rsid w:val="00DB4B9F"/>
    <w:rsid w:val="00DD0A4F"/>
    <w:rsid w:val="00DE2302"/>
    <w:rsid w:val="00DE28D1"/>
    <w:rsid w:val="00E224D9"/>
    <w:rsid w:val="00E41299"/>
    <w:rsid w:val="00E72D9B"/>
    <w:rsid w:val="00E76032"/>
    <w:rsid w:val="00E8576E"/>
    <w:rsid w:val="00E941E6"/>
    <w:rsid w:val="00EA70A3"/>
    <w:rsid w:val="00EE53C5"/>
    <w:rsid w:val="00F222A7"/>
    <w:rsid w:val="00F25190"/>
    <w:rsid w:val="00F3008A"/>
    <w:rsid w:val="00F317E6"/>
    <w:rsid w:val="00F46E31"/>
    <w:rsid w:val="00F81559"/>
    <w:rsid w:val="00F816C1"/>
    <w:rsid w:val="00FE7018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caption" w:uiPriority="35" w:qFormat="1"/>
    <w:lsdException w:name="footnote reference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6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86E63"/>
    <w:pPr>
      <w:autoSpaceDE w:val="0"/>
      <w:autoSpaceDN w:val="0"/>
      <w:adjustRightInd w:val="0"/>
      <w:spacing w:line="240" w:lineRule="atLeast"/>
      <w:jc w:val="both"/>
    </w:pPr>
    <w:rPr>
      <w:color w:val="000000"/>
      <w:lang w:val="lv-LV"/>
    </w:rPr>
  </w:style>
  <w:style w:type="character" w:styleId="CommentReference">
    <w:name w:val="annotation reference"/>
    <w:basedOn w:val="DefaultParagraphFont"/>
    <w:semiHidden/>
    <w:rsid w:val="00086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6E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9F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9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E2E9B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E2E9B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E45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664"/>
  </w:style>
  <w:style w:type="character" w:styleId="Hyperlink">
    <w:name w:val="Hyperlink"/>
    <w:basedOn w:val="DefaultParagraphFont"/>
    <w:uiPriority w:val="99"/>
    <w:unhideWhenUsed/>
    <w:rsid w:val="003A366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1"/>
    <w:unhideWhenUsed/>
    <w:qFormat/>
    <w:rsid w:val="009761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761C8"/>
    <w:rPr>
      <w:lang w:val="en-GB" w:eastAsia="en-US"/>
    </w:rPr>
  </w:style>
  <w:style w:type="character" w:styleId="FootnoteReference">
    <w:name w:val="footnote reference"/>
    <w:basedOn w:val="DefaultParagraphFont"/>
    <w:uiPriority w:val="1"/>
    <w:unhideWhenUsed/>
    <w:qFormat/>
    <w:rsid w:val="00976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caption" w:uiPriority="35" w:qFormat="1"/>
    <w:lsdException w:name="footnote reference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6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86E63"/>
    <w:pPr>
      <w:autoSpaceDE w:val="0"/>
      <w:autoSpaceDN w:val="0"/>
      <w:adjustRightInd w:val="0"/>
      <w:spacing w:line="240" w:lineRule="atLeast"/>
      <w:jc w:val="both"/>
    </w:pPr>
    <w:rPr>
      <w:color w:val="000000"/>
      <w:lang w:val="lv-LV"/>
    </w:rPr>
  </w:style>
  <w:style w:type="character" w:styleId="CommentReference">
    <w:name w:val="annotation reference"/>
    <w:basedOn w:val="DefaultParagraphFont"/>
    <w:semiHidden/>
    <w:rsid w:val="00086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6E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9F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9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E2E9B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E2E9B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E45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664"/>
  </w:style>
  <w:style w:type="character" w:styleId="Hyperlink">
    <w:name w:val="Hyperlink"/>
    <w:basedOn w:val="DefaultParagraphFont"/>
    <w:uiPriority w:val="99"/>
    <w:unhideWhenUsed/>
    <w:rsid w:val="003A366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1"/>
    <w:unhideWhenUsed/>
    <w:qFormat/>
    <w:rsid w:val="009761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761C8"/>
    <w:rPr>
      <w:lang w:val="en-GB" w:eastAsia="en-US"/>
    </w:rPr>
  </w:style>
  <w:style w:type="character" w:styleId="FootnoteReference">
    <w:name w:val="footnote reference"/>
    <w:basedOn w:val="DefaultParagraphFont"/>
    <w:uiPriority w:val="1"/>
    <w:unhideWhenUsed/>
    <w:qFormat/>
    <w:rsid w:val="009761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ktk.lv/lv/tiesibu-akti/kreditiestades/es-normativie-akti/ecb-noradijumi.html" TargetMode="External"/><Relationship Id="rId1" Type="http://schemas.openxmlformats.org/officeDocument/2006/relationships/hyperlink" Target="http://www.eba.europa.eu/regulation-and-policy/internal-governance/joint-esma-and-eba-guidelines-on-the-assessment-of-the-suitability-of-members-of-the-management-body;jsessionid=09E2203C62F18AF9839DBFACB8D83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FB73-E173-4A77-B766-21BB1C79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3770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Kredītiestāžu likuma 43</vt:lpstr>
    </vt:vector>
  </TitlesOfParts>
  <Company>Finansu un kapitala tirgus komisija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Kredītiestāžu likuma 26prim</dc:title>
  <dc:creator>Kristina Bojare</dc:creator>
  <cp:lastModifiedBy>Kristina Bojare</cp:lastModifiedBy>
  <cp:revision>9</cp:revision>
  <cp:lastPrinted>2007-06-26T11:51:00Z</cp:lastPrinted>
  <dcterms:created xsi:type="dcterms:W3CDTF">2017-06-29T12:45:00Z</dcterms:created>
  <dcterms:modified xsi:type="dcterms:W3CDTF">2017-06-30T06:40:00Z</dcterms:modified>
</cp:coreProperties>
</file>